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5" w:rsidRDefault="00501265" w:rsidP="00166B8F">
      <w:pPr>
        <w:pStyle w:val="Title"/>
      </w:pPr>
      <w:bookmarkStart w:id="0" w:name="_GoBack"/>
      <w:bookmarkEnd w:id="0"/>
      <w:r>
        <w:t>Public Health Training in Thames Valley</w:t>
      </w:r>
      <w:r w:rsidR="00166B8F">
        <w:t>- 2016</w:t>
      </w:r>
      <w:r w:rsidR="00462A80">
        <w:t>/17</w:t>
      </w:r>
    </w:p>
    <w:p w:rsidR="00462A80" w:rsidRPr="00B55BA6" w:rsidRDefault="00B55BA6" w:rsidP="00B55BA6">
      <w:pPr>
        <w:rPr>
          <w:b/>
        </w:rPr>
      </w:pPr>
      <w:r w:rsidRPr="00B55BA6">
        <w:rPr>
          <w:b/>
        </w:rPr>
        <w:t xml:space="preserve">Prepared by David Munday and Sam Gale </w:t>
      </w:r>
    </w:p>
    <w:p w:rsidR="00166B8F" w:rsidRPr="00851717" w:rsidRDefault="00166B8F" w:rsidP="00166B8F">
      <w:pPr>
        <w:pStyle w:val="Heading1"/>
      </w:pPr>
      <w:r w:rsidRPr="00851717">
        <w:t>Introduction</w:t>
      </w:r>
    </w:p>
    <w:p w:rsidR="00503D66" w:rsidRPr="00851717" w:rsidRDefault="00501265" w:rsidP="00501265">
      <w:pPr>
        <w:rPr>
          <w:rFonts w:asciiTheme="majorHAnsi" w:hAnsiTheme="majorHAnsi"/>
        </w:rPr>
      </w:pPr>
      <w:r w:rsidRPr="00851717">
        <w:rPr>
          <w:rFonts w:asciiTheme="majorHAnsi" w:hAnsiTheme="majorHAnsi"/>
        </w:rPr>
        <w:t>2016 has been a good year for the registrars in the Thames Valley.</w:t>
      </w:r>
      <w:r w:rsidR="00166B8F" w:rsidRPr="00851717">
        <w:rPr>
          <w:rFonts w:asciiTheme="majorHAnsi" w:hAnsiTheme="majorHAnsi"/>
        </w:rPr>
        <w:t xml:space="preserve"> We currently have 25 Registrars in the region with 5 currently out of programme.</w:t>
      </w:r>
      <w:r w:rsidRPr="00851717">
        <w:rPr>
          <w:rFonts w:asciiTheme="majorHAnsi" w:hAnsiTheme="majorHAnsi"/>
        </w:rPr>
        <w:t xml:space="preserve"> Here is a snapshot of what we have been up to</w:t>
      </w:r>
      <w:r w:rsidR="00166B8F" w:rsidRPr="00851717">
        <w:rPr>
          <w:rFonts w:asciiTheme="majorHAnsi" w:hAnsiTheme="majorHAnsi"/>
        </w:rPr>
        <w:t xml:space="preserve"> over the year</w:t>
      </w:r>
      <w:r w:rsidRPr="00851717">
        <w:rPr>
          <w:rFonts w:asciiTheme="majorHAnsi" w:hAnsiTheme="majorHAnsi"/>
        </w:rPr>
        <w:t>;</w:t>
      </w:r>
    </w:p>
    <w:p w:rsidR="00166B8F" w:rsidRPr="00851717" w:rsidRDefault="00166B8F" w:rsidP="00166B8F">
      <w:pPr>
        <w:pStyle w:val="Heading1"/>
      </w:pPr>
      <w:r w:rsidRPr="00851717">
        <w:t>Symposium</w:t>
      </w:r>
    </w:p>
    <w:p w:rsidR="00501265" w:rsidRPr="00851717" w:rsidRDefault="00501265" w:rsidP="00501265">
      <w:pPr>
        <w:rPr>
          <w:rFonts w:asciiTheme="majorHAnsi" w:hAnsiTheme="majorHAnsi"/>
        </w:rPr>
      </w:pPr>
      <w:r w:rsidRPr="00851717">
        <w:rPr>
          <w:rFonts w:asciiTheme="majorHAnsi" w:hAnsiTheme="majorHAnsi"/>
        </w:rPr>
        <w:t>Our annual Registrar Sympo</w:t>
      </w:r>
      <w:r w:rsidR="00166B8F" w:rsidRPr="00851717">
        <w:rPr>
          <w:rFonts w:asciiTheme="majorHAnsi" w:hAnsiTheme="majorHAnsi"/>
        </w:rPr>
        <w:t>sium was held in September and was called “Marginalised Groups: closing the gap for under-served populations”.</w:t>
      </w:r>
      <w:r w:rsidRPr="00851717">
        <w:rPr>
          <w:rFonts w:asciiTheme="majorHAnsi" w:hAnsiTheme="majorHAnsi"/>
        </w:rPr>
        <w:t xml:space="preserve"> </w:t>
      </w:r>
      <w:proofErr w:type="gramStart"/>
      <w:r w:rsidRPr="00851717">
        <w:rPr>
          <w:rFonts w:asciiTheme="majorHAnsi" w:hAnsiTheme="majorHAnsi"/>
        </w:rPr>
        <w:t xml:space="preserve">This </w:t>
      </w:r>
      <w:r w:rsidR="00166B8F" w:rsidRPr="00851717">
        <w:rPr>
          <w:rFonts w:asciiTheme="majorHAnsi" w:hAnsiTheme="majorHAnsi"/>
        </w:rPr>
        <w:t xml:space="preserve"> was</w:t>
      </w:r>
      <w:proofErr w:type="gramEnd"/>
      <w:r w:rsidR="00166B8F" w:rsidRPr="00851717">
        <w:rPr>
          <w:rFonts w:asciiTheme="majorHAnsi" w:hAnsiTheme="majorHAnsi"/>
        </w:rPr>
        <w:t xml:space="preserve"> a well put together and very stimulating day, including</w:t>
      </w:r>
      <w:r w:rsidRPr="00851717">
        <w:rPr>
          <w:rFonts w:asciiTheme="majorHAnsi" w:hAnsiTheme="majorHAnsi"/>
        </w:rPr>
        <w:t xml:space="preserve"> sessions on prison and migrant health,</w:t>
      </w:r>
      <w:r w:rsidR="00166B8F" w:rsidRPr="00851717">
        <w:rPr>
          <w:rFonts w:asciiTheme="majorHAnsi" w:hAnsiTheme="majorHAnsi"/>
        </w:rPr>
        <w:t xml:space="preserve"> polio vaccination in Syria,</w:t>
      </w:r>
      <w:r w:rsidRPr="00851717">
        <w:rPr>
          <w:rFonts w:asciiTheme="majorHAnsi" w:hAnsiTheme="majorHAnsi"/>
        </w:rPr>
        <w:t xml:space="preserve"> as well as </w:t>
      </w:r>
      <w:r w:rsidR="00166B8F" w:rsidRPr="00851717">
        <w:rPr>
          <w:rFonts w:asciiTheme="majorHAnsi" w:hAnsiTheme="majorHAnsi"/>
        </w:rPr>
        <w:t xml:space="preserve">local </w:t>
      </w:r>
      <w:r w:rsidRPr="00851717">
        <w:rPr>
          <w:rFonts w:asciiTheme="majorHAnsi" w:hAnsiTheme="majorHAnsi"/>
        </w:rPr>
        <w:t xml:space="preserve">needle exchange and other services for those who inject drugs. </w:t>
      </w:r>
    </w:p>
    <w:p w:rsidR="00501265" w:rsidRPr="00851717" w:rsidRDefault="00501265" w:rsidP="00501265">
      <w:pPr>
        <w:rPr>
          <w:rFonts w:asciiTheme="majorHAnsi" w:hAnsiTheme="majorHAnsi"/>
        </w:rPr>
      </w:pPr>
    </w:p>
    <w:p w:rsidR="00501265" w:rsidRPr="00851717" w:rsidRDefault="00501265" w:rsidP="00501265">
      <w:pPr>
        <w:rPr>
          <w:rFonts w:asciiTheme="majorHAnsi" w:hAnsiTheme="majorHAnsi"/>
        </w:rPr>
      </w:pPr>
      <w:r w:rsidRPr="00851717">
        <w:rPr>
          <w:rFonts w:asciiTheme="majorHAnsi" w:hAnsiTheme="majorHAnsi"/>
          <w:noProof/>
          <w:lang w:eastAsia="en-GB"/>
        </w:rPr>
        <w:drawing>
          <wp:inline distT="0" distB="0" distL="0" distR="0" wp14:anchorId="605331EA" wp14:editId="72AEBEAA">
            <wp:extent cx="5181600" cy="3297382"/>
            <wp:effectExtent l="0" t="0" r="0" b="0"/>
            <wp:docPr id="1" name="Picture 1" descr="C:\Users\david.munday\Downloads\_MG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unday\Downloads\_MG_3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A4" w:rsidRPr="00B55BA6" w:rsidRDefault="00F31AA4" w:rsidP="00B55BA6">
      <w:pPr>
        <w:pStyle w:val="Heading1"/>
      </w:pPr>
      <w:r w:rsidRPr="00851717">
        <w:t>Teaching</w:t>
      </w:r>
    </w:p>
    <w:p w:rsidR="00B55BA6" w:rsidRDefault="00F31AA4" w:rsidP="00B55BA6">
      <w:pPr>
        <w:rPr>
          <w:rFonts w:asciiTheme="majorHAnsi" w:hAnsiTheme="majorHAnsi"/>
        </w:rPr>
      </w:pPr>
      <w:r w:rsidRPr="00851717">
        <w:rPr>
          <w:rFonts w:asciiTheme="majorHAnsi" w:hAnsiTheme="majorHAnsi"/>
        </w:rPr>
        <w:t xml:space="preserve">Thames Valley </w:t>
      </w:r>
      <w:proofErr w:type="spellStart"/>
      <w:r w:rsidRPr="00851717">
        <w:rPr>
          <w:rFonts w:asciiTheme="majorHAnsi" w:hAnsiTheme="majorHAnsi"/>
        </w:rPr>
        <w:t>StRs</w:t>
      </w:r>
      <w:proofErr w:type="spellEnd"/>
      <w:r w:rsidRPr="00851717">
        <w:rPr>
          <w:rFonts w:asciiTheme="majorHAnsi" w:hAnsiTheme="majorHAnsi"/>
        </w:rPr>
        <w:t xml:space="preserve"> continue to contribute to teaching on various areas of </w:t>
      </w:r>
      <w:r w:rsidR="00AA657C" w:rsidRPr="00851717">
        <w:rPr>
          <w:rFonts w:asciiTheme="majorHAnsi" w:hAnsiTheme="majorHAnsi"/>
        </w:rPr>
        <w:t>Public Health. These include sessions on; Health Needs Assessment, Health Inequalities, Individual Funding Requests teaching  for final medical students as well as teaching on Screening  for MSc Public Health students.</w:t>
      </w:r>
    </w:p>
    <w:p w:rsidR="00166B8F" w:rsidRPr="00B55BA6" w:rsidRDefault="00166B8F" w:rsidP="00B55BA6">
      <w:pPr>
        <w:pStyle w:val="Heading1"/>
      </w:pPr>
      <w:r w:rsidRPr="00851717">
        <w:lastRenderedPageBreak/>
        <w:t>Publications</w:t>
      </w:r>
    </w:p>
    <w:p w:rsidR="00970B5F" w:rsidRPr="00851717" w:rsidRDefault="00970B5F" w:rsidP="00970B5F">
      <w:pPr>
        <w:rPr>
          <w:rFonts w:asciiTheme="majorHAnsi" w:hAnsiTheme="majorHAnsi" w:cs="Arial"/>
          <w:color w:val="222222"/>
          <w:shd w:val="clear" w:color="auto" w:fill="FFFFFF"/>
        </w:rPr>
      </w:pPr>
      <w:proofErr w:type="spellStart"/>
      <w:proofErr w:type="gramStart"/>
      <w:r w:rsidRPr="00851717">
        <w:rPr>
          <w:rFonts w:asciiTheme="majorHAnsi" w:hAnsiTheme="majorHAnsi" w:cs="Arial"/>
          <w:color w:val="222222"/>
          <w:shd w:val="clear" w:color="auto" w:fill="FFFFFF"/>
        </w:rPr>
        <w:t>Plugee</w:t>
      </w:r>
      <w:proofErr w:type="spellEnd"/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 E and Rayfield S,</w:t>
      </w:r>
      <w:r w:rsidR="00F31AA4" w:rsidRPr="00851717">
        <w:rPr>
          <w:rFonts w:asciiTheme="majorHAnsi" w:hAnsiTheme="majorHAnsi" w:cs="Arial"/>
          <w:color w:val="222222"/>
          <w:shd w:val="clear" w:color="auto" w:fill="FFFFFF"/>
        </w:rPr>
        <w:t xml:space="preserve"> Systematic review and meta-analysis of the association between maternal smoking in pregnancy and childhood overweight and obesity</w:t>
      </w:r>
      <w:r w:rsidR="00F31AA4" w:rsidRPr="00851717">
        <w:rPr>
          <w:rFonts w:asciiTheme="majorHAnsi" w:hAnsiTheme="majorHAnsi" w:cs="Arial"/>
          <w:b/>
          <w:color w:val="222222"/>
          <w:shd w:val="clear" w:color="auto" w:fill="FFFFFF"/>
        </w:rPr>
        <w:t>.</w:t>
      </w:r>
      <w:proofErr w:type="gramEnd"/>
      <w:r w:rsidR="00F31AA4" w:rsidRPr="00851717">
        <w:rPr>
          <w:rFonts w:asciiTheme="majorHAnsi" w:hAnsiTheme="majorHAnsi" w:cs="Arial"/>
          <w:b/>
          <w:color w:val="222222"/>
          <w:shd w:val="clear" w:color="auto" w:fill="FFFFFF"/>
        </w:rPr>
        <w:t xml:space="preserve"> </w:t>
      </w:r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 Journal of Epidemiology and community health, August 2016: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ADM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, Mytton OT, </w:t>
      </w:r>
      <w:proofErr w:type="spellStart"/>
      <w:r w:rsidRPr="00F31AA4">
        <w:rPr>
          <w:rFonts w:asciiTheme="majorHAnsi" w:eastAsia="Times New Roman" w:hAnsiTheme="majorHAnsi" w:cs="Arial"/>
          <w:color w:val="222222"/>
          <w:lang w:eastAsia="en-GB"/>
        </w:rPr>
        <w:t>Kehlbacher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A, et al. A health impact assessment of the UK soft drinks industry levy: a comparative risk assessment modelling study.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The Lancet Public Health.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;2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(1):e15 (with press release and various media activity)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color w:val="222222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Scarborough P, </w:t>
      </w:r>
      <w:proofErr w:type="spellStart"/>
      <w:r w:rsidRPr="00F31AA4">
        <w:rPr>
          <w:rFonts w:asciiTheme="majorHAnsi" w:eastAsia="Times New Roman" w:hAnsiTheme="majorHAnsi" w:cs="Arial"/>
          <w:color w:val="222222"/>
          <w:lang w:eastAsia="en-GB"/>
        </w:rPr>
        <w:t>Smolina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K, </w:t>
      </w:r>
      <w:proofErr w:type="spellStart"/>
      <w:r w:rsidRPr="00F31AA4">
        <w:rPr>
          <w:rFonts w:asciiTheme="majorHAnsi" w:eastAsia="Times New Roman" w:hAnsiTheme="majorHAnsi" w:cs="Arial"/>
          <w:color w:val="222222"/>
          <w:lang w:eastAsia="en-GB"/>
        </w:rPr>
        <w:t>Mizdrak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A, </w:t>
      </w:r>
      <w:proofErr w:type="spellStart"/>
      <w:r w:rsidRPr="00F31AA4">
        <w:rPr>
          <w:rFonts w:asciiTheme="majorHAnsi" w:eastAsia="Times New Roman" w:hAnsiTheme="majorHAnsi" w:cs="Arial"/>
          <w:color w:val="222222"/>
          <w:lang w:eastAsia="en-GB"/>
        </w:rPr>
        <w:t>Cobiac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L, </w:t>
      </w: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ADM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. Assessing the external validity of model-based estimates of the incidence of heart attack in England: a modelling study.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BMC Public Health.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;16:1135</w:t>
      </w:r>
      <w:proofErr w:type="gramEnd"/>
    </w:p>
    <w:p w:rsidR="00F31AA4" w:rsidRPr="00F31AA4" w:rsidRDefault="00F31AA4" w:rsidP="00F31AA4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ADM,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Wolstenholme J, Blakely T, Scarborough P. Choosing an epidemiological model structure for the economic evaluation of non-communicable disease public health interventions. </w:t>
      </w:r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Population Health Metrics.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;14:17</w:t>
      </w:r>
      <w:proofErr w:type="gramEnd"/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color w:val="222222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proofErr w:type="spellStart"/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Kehlbacher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A, Tiffin R, </w:t>
      </w: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, Berners-Lee M, Scarborough P.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The distributional and nutritional impacts and mitigation potential of emission-based food taxes in the UK.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Climatic Change.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;137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(1):121-41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 </w:t>
      </w:r>
    </w:p>
    <w:p w:rsidR="00F31AA4" w:rsidRPr="00851717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ADM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, </w:t>
      </w:r>
      <w:proofErr w:type="spellStart"/>
      <w:r w:rsidRPr="00F31AA4">
        <w:rPr>
          <w:rFonts w:asciiTheme="majorHAnsi" w:eastAsia="Times New Roman" w:hAnsiTheme="majorHAnsi" w:cs="Arial"/>
          <w:color w:val="222222"/>
          <w:lang w:eastAsia="en-GB"/>
        </w:rPr>
        <w:t>Kehlbacher</w:t>
      </w:r>
      <w:proofErr w:type="spell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A, Tiffin R, Scarborough P. Simulating the impact on health of internalising the cost of carbon in food prices combined with a tax on sugar-sweetened beverages.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BMC Public Health.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851717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851717">
        <w:rPr>
          <w:rFonts w:asciiTheme="majorHAnsi" w:eastAsia="Times New Roman" w:hAnsiTheme="majorHAnsi" w:cs="Arial"/>
          <w:color w:val="222222"/>
          <w:lang w:eastAsia="en-GB"/>
        </w:rPr>
        <w:t>;16:107</w:t>
      </w:r>
      <w:proofErr w:type="gramEnd"/>
    </w:p>
    <w:p w:rsidR="00F31AA4" w:rsidRPr="00851717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Platt L, Easterbrook P, Gower E, McDonald B, Sabin K, McGowan C,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Yanny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 I,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Razavi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 H, Vickerman P.</w:t>
      </w:r>
      <w:r w:rsidRPr="00851717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  <w:r w:rsidRPr="00851717">
        <w:rPr>
          <w:rFonts w:asciiTheme="majorHAnsi" w:eastAsia="Times New Roman" w:hAnsiTheme="majorHAnsi" w:cs="Arial"/>
          <w:bCs/>
          <w:color w:val="222222"/>
          <w:lang w:val="en-US" w:eastAsia="en-GB"/>
        </w:rPr>
        <w:t>Prevalence and burden of HCV co-infection in people living with HIV: a global systematic review and meta-analysis.</w:t>
      </w:r>
      <w:r w:rsidRPr="00851717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Lancet Infect Dis. 2016 Feb 24. </w:t>
      </w:r>
      <w:proofErr w:type="spellStart"/>
      <w:proofErr w:type="gram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pii</w:t>
      </w:r>
      <w:proofErr w:type="spellEnd"/>
      <w:proofErr w:type="gram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: S1473-3099(15)00485-5.</w:t>
      </w: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A.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Sugar tax could sweeten a market failure.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Nature.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;531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(7596):551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color w:val="222222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Scarborough P, </w:t>
      </w: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A,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Mytton O, Rayner M.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The Institute of Fiscal Studies’ verdict on a sugary drink tax.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 </w:t>
      </w:r>
      <w:proofErr w:type="gramStart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The Lancet.</w:t>
      </w:r>
      <w:proofErr w:type="gramEnd"/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</w:t>
      </w:r>
      <w:proofErr w:type="gramStart"/>
      <w:r w:rsidRPr="00F31AA4">
        <w:rPr>
          <w:rFonts w:asciiTheme="majorHAnsi" w:eastAsia="Times New Roman" w:hAnsiTheme="majorHAnsi" w:cs="Arial"/>
          <w:color w:val="222222"/>
          <w:lang w:eastAsia="en-GB"/>
        </w:rPr>
        <w:t>;387</w:t>
      </w:r>
      <w:proofErr w:type="gramEnd"/>
      <w:r w:rsidRPr="00F31AA4">
        <w:rPr>
          <w:rFonts w:asciiTheme="majorHAnsi" w:eastAsia="Times New Roman" w:hAnsiTheme="majorHAnsi" w:cs="Arial"/>
          <w:color w:val="222222"/>
          <w:lang w:eastAsia="en-GB"/>
        </w:rPr>
        <w:t>(10024):1162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color w:val="1F497D"/>
          <w:lang w:eastAsia="en-GB"/>
        </w:rPr>
        <w:t> </w:t>
      </w:r>
    </w:p>
    <w:p w:rsidR="00F31AA4" w:rsidRPr="00F31AA4" w:rsidRDefault="00F31AA4" w:rsidP="00F31A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en-GB"/>
        </w:rPr>
      </w:pPr>
      <w:r w:rsidRPr="00F31AA4">
        <w:rPr>
          <w:rFonts w:asciiTheme="majorHAnsi" w:eastAsia="Times New Roman" w:hAnsiTheme="majorHAnsi" w:cs="Arial"/>
          <w:bCs/>
          <w:color w:val="222222"/>
          <w:lang w:eastAsia="en-GB"/>
        </w:rPr>
        <w:t>Briggs A,</w:t>
      </w:r>
      <w:r w:rsidRPr="00F31AA4">
        <w:rPr>
          <w:rFonts w:asciiTheme="majorHAnsi" w:eastAsia="Times New Roman" w:hAnsiTheme="majorHAnsi" w:cs="Arial"/>
          <w:b/>
          <w:bCs/>
          <w:color w:val="222222"/>
          <w:lang w:eastAsia="en-GB"/>
        </w:rPr>
        <w:t>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Newton J. Chapter 4: Physical Health. In: Davies SC. Annual Report of the Chief Medical Officer 2015. On the State of the Public’s Health, Baby Boomers: Fit for the Future.</w:t>
      </w:r>
      <w:r w:rsidRPr="00F31AA4">
        <w:rPr>
          <w:rFonts w:asciiTheme="majorHAnsi" w:eastAsia="Times New Roman" w:hAnsiTheme="majorHAnsi" w:cs="Arial"/>
          <w:i/>
          <w:iCs/>
          <w:color w:val="222222"/>
          <w:lang w:eastAsia="en-GB"/>
        </w:rPr>
        <w:t> London: Department of Health. </w:t>
      </w:r>
      <w:r w:rsidRPr="00F31AA4">
        <w:rPr>
          <w:rFonts w:asciiTheme="majorHAnsi" w:eastAsia="Times New Roman" w:hAnsiTheme="majorHAnsi" w:cs="Arial"/>
          <w:color w:val="222222"/>
          <w:lang w:eastAsia="en-GB"/>
        </w:rPr>
        <w:t>2016(with press release and various media activity)</w:t>
      </w:r>
    </w:p>
    <w:p w:rsidR="00315FE4" w:rsidRPr="00851717" w:rsidRDefault="00315FE4" w:rsidP="00970B5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166B8F" w:rsidRPr="00851717" w:rsidRDefault="00166B8F" w:rsidP="00970B5F">
      <w:pPr>
        <w:pStyle w:val="Heading1"/>
      </w:pPr>
      <w:r w:rsidRPr="00851717">
        <w:t>Posters</w:t>
      </w:r>
    </w:p>
    <w:p w:rsidR="00166B8F" w:rsidRPr="00851717" w:rsidRDefault="00166B8F" w:rsidP="00166B8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  <w:r w:rsidRPr="00851717">
        <w:rPr>
          <w:rFonts w:asciiTheme="majorHAnsi" w:eastAsia="Times New Roman" w:hAnsiTheme="majorHAnsi" w:cs="Arial"/>
          <w:color w:val="222222"/>
          <w:lang w:eastAsia="en-GB"/>
        </w:rPr>
        <w:t xml:space="preserve">International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eastAsia="en-GB"/>
        </w:rPr>
        <w:t>Zika</w:t>
      </w:r>
      <w:proofErr w:type="spellEnd"/>
      <w:r w:rsidRPr="00851717">
        <w:rPr>
          <w:rFonts w:asciiTheme="majorHAnsi" w:eastAsia="Times New Roman" w:hAnsiTheme="majorHAnsi" w:cs="Arial"/>
          <w:color w:val="222222"/>
          <w:lang w:eastAsia="en-GB"/>
        </w:rPr>
        <w:t xml:space="preserve"> Summit 2016, Institute Pasteur; Paris, France (poster presentation)</w:t>
      </w:r>
    </w:p>
    <w:p w:rsidR="00166B8F" w:rsidRPr="00851717" w:rsidRDefault="00166B8F" w:rsidP="008517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  <w:r w:rsidRPr="00851717">
        <w:rPr>
          <w:rFonts w:asciiTheme="majorHAnsi" w:eastAsia="Times New Roman" w:hAnsiTheme="majorHAnsi" w:cs="Arial"/>
          <w:b/>
          <w:bCs/>
          <w:color w:val="222222"/>
          <w:lang w:val="en-US" w:eastAsia="en-GB"/>
        </w:rPr>
        <w:t xml:space="preserve">The International Severe Acute Respiratory and emerging Infection Consortium (ISARIC) response to the </w:t>
      </w:r>
      <w:proofErr w:type="spellStart"/>
      <w:r w:rsidRPr="00851717">
        <w:rPr>
          <w:rFonts w:asciiTheme="majorHAnsi" w:eastAsia="Times New Roman" w:hAnsiTheme="majorHAnsi" w:cs="Arial"/>
          <w:b/>
          <w:bCs/>
          <w:color w:val="222222"/>
          <w:lang w:val="en-US" w:eastAsia="en-GB"/>
        </w:rPr>
        <w:t>Zika</w:t>
      </w:r>
      <w:proofErr w:type="spellEnd"/>
      <w:r w:rsidRPr="00851717">
        <w:rPr>
          <w:rFonts w:asciiTheme="majorHAnsi" w:eastAsia="Times New Roman" w:hAnsiTheme="majorHAnsi" w:cs="Arial"/>
          <w:b/>
          <w:bCs/>
          <w:color w:val="222222"/>
          <w:lang w:val="en-US" w:eastAsia="en-GB"/>
        </w:rPr>
        <w:t xml:space="preserve"> virus outbreak</w:t>
      </w:r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 O Mohamed-Ahmed, B McDonald, R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Pardinaz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-Solis, L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Sigfrid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 xml:space="preserve">, C McMullen, S Moore, KS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Longuere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, P Ramon</w:t>
      </w:r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noBreakHyphen/>
        <w:t xml:space="preserve">Pardo, N </w:t>
      </w:r>
      <w:proofErr w:type="spellStart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Shindo</w:t>
      </w:r>
      <w:proofErr w:type="spellEnd"/>
      <w:r w:rsidRPr="00851717">
        <w:rPr>
          <w:rFonts w:asciiTheme="majorHAnsi" w:eastAsia="Times New Roman" w:hAnsiTheme="majorHAnsi" w:cs="Arial"/>
          <w:color w:val="222222"/>
          <w:lang w:val="en-US" w:eastAsia="en-GB"/>
        </w:rPr>
        <w:t>, and G Carson</w:t>
      </w:r>
    </w:p>
    <w:p w:rsidR="00851717" w:rsidRPr="00851717" w:rsidRDefault="00851717" w:rsidP="0085171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en-GB"/>
        </w:rPr>
      </w:pPr>
    </w:p>
    <w:p w:rsidR="00166B8F" w:rsidRPr="00851717" w:rsidRDefault="00166B8F" w:rsidP="00166B8F">
      <w:pPr>
        <w:rPr>
          <w:rFonts w:asciiTheme="majorHAnsi" w:hAnsiTheme="majorHAnsi" w:cs="Arial"/>
          <w:bCs/>
          <w:color w:val="222222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European Union Geriatric Medicine Society Congress in October 2016, "</w:t>
      </w:r>
      <w:r w:rsidRPr="00851717">
        <w:rPr>
          <w:rFonts w:asciiTheme="majorHAnsi" w:hAnsiTheme="majorHAnsi" w:cs="Arial"/>
          <w:b/>
          <w:bCs/>
          <w:color w:val="222222"/>
        </w:rPr>
        <w:t xml:space="preserve">Rates of capacity assessment in consent processes are low despite high rates of cognitive </w:t>
      </w:r>
      <w:proofErr w:type="gramStart"/>
      <w:r w:rsidRPr="00851717">
        <w:rPr>
          <w:rFonts w:asciiTheme="majorHAnsi" w:hAnsiTheme="majorHAnsi" w:cs="Arial"/>
          <w:b/>
          <w:bCs/>
          <w:color w:val="222222"/>
        </w:rPr>
        <w:t>impairment  in</w:t>
      </w:r>
      <w:proofErr w:type="gramEnd"/>
      <w:r w:rsidRPr="00851717">
        <w:rPr>
          <w:rFonts w:asciiTheme="majorHAnsi" w:hAnsiTheme="majorHAnsi" w:cs="Arial"/>
          <w:b/>
          <w:bCs/>
          <w:color w:val="222222"/>
        </w:rPr>
        <w:t xml:space="preserve"> older patients undergoing emergency surgery" </w:t>
      </w:r>
      <w:r w:rsidRPr="00851717">
        <w:rPr>
          <w:rFonts w:asciiTheme="majorHAnsi" w:hAnsiTheme="majorHAnsi" w:cs="Arial"/>
          <w:bCs/>
          <w:color w:val="222222"/>
        </w:rPr>
        <w:t xml:space="preserve"> Dobell E. </w:t>
      </w:r>
    </w:p>
    <w:p w:rsidR="00166B8F" w:rsidRPr="00851717" w:rsidRDefault="00AA657C" w:rsidP="00166B8F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Presentation</w:t>
      </w:r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1345F8" w:rsidRPr="00851717">
        <w:rPr>
          <w:rFonts w:asciiTheme="majorHAnsi" w:hAnsiTheme="majorHAnsi" w:cs="Arial"/>
          <w:color w:val="222222"/>
          <w:shd w:val="clear" w:color="auto" w:fill="FFFFFF"/>
        </w:rPr>
        <w:t>at the British Heart Foundation Centre of Research Excellence Symposium</w:t>
      </w:r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 xml:space="preserve"> "</w:t>
      </w:r>
      <w:r w:rsidR="00166B8F" w:rsidRPr="00851717">
        <w:rPr>
          <w:rFonts w:asciiTheme="majorHAnsi" w:hAnsiTheme="majorHAnsi" w:cs="Arial"/>
          <w:b/>
          <w:color w:val="222222"/>
          <w:shd w:val="clear" w:color="auto" w:fill="FFFFFF"/>
        </w:rPr>
        <w:t>The burden, treatment, control and consequences of hypertension in Cuba</w:t>
      </w:r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 xml:space="preserve">" </w:t>
      </w:r>
      <w:r w:rsidR="001345F8" w:rsidRPr="00851717">
        <w:rPr>
          <w:rFonts w:asciiTheme="majorHAnsi" w:hAnsiTheme="majorHAnsi" w:cs="Arial"/>
          <w:color w:val="222222"/>
          <w:shd w:val="clear" w:color="auto" w:fill="FFFFFF"/>
        </w:rPr>
        <w:t>Dobell E</w:t>
      </w:r>
    </w:p>
    <w:p w:rsidR="00AA657C" w:rsidRPr="00851717" w:rsidRDefault="00AA657C" w:rsidP="00166B8F">
      <w:pPr>
        <w:rPr>
          <w:rFonts w:asciiTheme="majorHAnsi" w:hAnsiTheme="majorHAnsi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lastRenderedPageBreak/>
        <w:t>Poster at the Faculty of Public Health Conference June 2016 “</w:t>
      </w:r>
      <w:r w:rsidRPr="00851717">
        <w:rPr>
          <w:rFonts w:asciiTheme="majorHAnsi" w:hAnsiTheme="majorHAnsi"/>
          <w:b/>
        </w:rPr>
        <w:t>An evaluation of the thames valley practitioner development scheme</w:t>
      </w:r>
      <w:r w:rsidRPr="00851717">
        <w:rPr>
          <w:rFonts w:asciiTheme="majorHAnsi" w:hAnsiTheme="majorHAnsi"/>
        </w:rPr>
        <w:t>” Munday D and Thomas B</w:t>
      </w:r>
    </w:p>
    <w:p w:rsidR="00851717" w:rsidRPr="00851717" w:rsidRDefault="00AA657C" w:rsidP="00166B8F">
      <w:pPr>
        <w:rPr>
          <w:rFonts w:asciiTheme="majorHAnsi" w:hAnsiTheme="majorHAnsi"/>
        </w:rPr>
      </w:pPr>
      <w:r w:rsidRPr="00851717">
        <w:rPr>
          <w:rFonts w:asciiTheme="majorHAnsi" w:hAnsiTheme="majorHAnsi"/>
        </w:rPr>
        <w:t>Poster at the Public  Health England Conference September 2016 “</w:t>
      </w:r>
      <w:r w:rsidRPr="00851717">
        <w:rPr>
          <w:rFonts w:asciiTheme="majorHAnsi" w:hAnsiTheme="majorHAnsi"/>
          <w:b/>
        </w:rPr>
        <w:t>Suicide and the Five-year Forward View For Mental Health – Maximising the utility of local suicide audits to achieve a 10% reduction in the national suicide rate</w:t>
      </w:r>
      <w:r w:rsidRPr="00851717">
        <w:rPr>
          <w:rFonts w:asciiTheme="majorHAnsi" w:hAnsiTheme="majorHAnsi"/>
        </w:rPr>
        <w:t>”</w:t>
      </w:r>
      <w:r w:rsidR="00851717" w:rsidRPr="00851717">
        <w:rPr>
          <w:rFonts w:asciiTheme="majorHAnsi" w:hAnsiTheme="majorHAnsi"/>
        </w:rPr>
        <w:t xml:space="preserve"> </w:t>
      </w:r>
      <w:proofErr w:type="spellStart"/>
      <w:r w:rsidR="00851717" w:rsidRPr="00851717">
        <w:rPr>
          <w:rFonts w:asciiTheme="majorHAnsi" w:hAnsiTheme="majorHAnsi"/>
        </w:rPr>
        <w:t>Munday</w:t>
      </w:r>
      <w:proofErr w:type="spellEnd"/>
      <w:r w:rsidR="00851717" w:rsidRPr="00851717">
        <w:rPr>
          <w:rFonts w:asciiTheme="majorHAnsi" w:hAnsiTheme="majorHAnsi"/>
        </w:rPr>
        <w:t xml:space="preserve"> D and </w:t>
      </w:r>
      <w:proofErr w:type="spellStart"/>
      <w:r w:rsidR="00851717" w:rsidRPr="00851717">
        <w:rPr>
          <w:rFonts w:asciiTheme="majorHAnsi" w:hAnsiTheme="majorHAnsi"/>
        </w:rPr>
        <w:t>Culmer</w:t>
      </w:r>
      <w:proofErr w:type="spellEnd"/>
      <w:r w:rsidR="00851717" w:rsidRPr="00851717">
        <w:rPr>
          <w:rFonts w:asciiTheme="majorHAnsi" w:hAnsiTheme="majorHAnsi"/>
        </w:rPr>
        <w:t xml:space="preserve"> S.</w:t>
      </w:r>
      <w:r w:rsidRPr="00851717">
        <w:rPr>
          <w:rFonts w:asciiTheme="majorHAnsi" w:hAnsiTheme="majorHAnsi"/>
        </w:rPr>
        <w:t xml:space="preserve"> </w:t>
      </w:r>
    </w:p>
    <w:p w:rsidR="00315FE4" w:rsidRPr="00851717" w:rsidRDefault="00315FE4" w:rsidP="00166B8F">
      <w:pPr>
        <w:rPr>
          <w:rFonts w:asciiTheme="majorHAnsi" w:hAnsiTheme="majorHAnsi" w:cs="Arial"/>
        </w:rPr>
      </w:pPr>
    </w:p>
    <w:p w:rsidR="00166B8F" w:rsidRPr="00851717" w:rsidRDefault="00166B8F" w:rsidP="00970B5F">
      <w:pPr>
        <w:pStyle w:val="Heading1"/>
      </w:pPr>
      <w:r w:rsidRPr="00851717">
        <w:t xml:space="preserve">Achievements </w:t>
      </w:r>
    </w:p>
    <w:p w:rsidR="00166B8F" w:rsidRPr="00851717" w:rsidRDefault="00F31AA4" w:rsidP="00166B8F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Award </w:t>
      </w:r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>of</w:t>
      </w:r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 one </w:t>
      </w:r>
      <w:proofErr w:type="gramStart"/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of </w:t>
      </w:r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 xml:space="preserve"> the</w:t>
      </w:r>
      <w:proofErr w:type="gramEnd"/>
      <w:r w:rsidR="00166B8F" w:rsidRPr="00851717">
        <w:rPr>
          <w:rFonts w:asciiTheme="majorHAnsi" w:hAnsiTheme="majorHAnsi" w:cs="Arial"/>
          <w:color w:val="222222"/>
          <w:shd w:val="clear" w:color="auto" w:fill="FFFFFF"/>
        </w:rPr>
        <w:t xml:space="preserve"> chief medical officer/HEE academic fellowships </w:t>
      </w:r>
    </w:p>
    <w:p w:rsidR="001345F8" w:rsidRPr="00851717" w:rsidRDefault="00F31AA4" w:rsidP="00166B8F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An ST1</w:t>
      </w:r>
      <w:r w:rsidR="001345F8" w:rsidRPr="00851717">
        <w:rPr>
          <w:rFonts w:asciiTheme="majorHAnsi" w:hAnsiTheme="majorHAnsi" w:cs="Arial"/>
          <w:color w:val="222222"/>
          <w:shd w:val="clear" w:color="auto" w:fill="FFFFFF"/>
        </w:rPr>
        <w:t xml:space="preserve"> was awarded Best Student on MSc (for highest overall score)</w:t>
      </w:r>
    </w:p>
    <w:p w:rsidR="001345F8" w:rsidRPr="00851717" w:rsidRDefault="00F31AA4" w:rsidP="00166B8F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One </w:t>
      </w:r>
      <w:proofErr w:type="gramStart"/>
      <w:r w:rsidRPr="00851717">
        <w:rPr>
          <w:rFonts w:asciiTheme="majorHAnsi" w:hAnsiTheme="majorHAnsi" w:cs="Arial"/>
          <w:color w:val="222222"/>
          <w:shd w:val="clear" w:color="auto" w:fill="FFFFFF"/>
        </w:rPr>
        <w:t>StR</w:t>
      </w:r>
      <w:proofErr w:type="gramEnd"/>
      <w:r w:rsidR="001345F8" w:rsidRPr="00851717">
        <w:rPr>
          <w:rFonts w:asciiTheme="majorHAnsi" w:hAnsiTheme="majorHAnsi" w:cs="Arial"/>
          <w:color w:val="222222"/>
          <w:shd w:val="clear" w:color="auto" w:fill="FFFFFF"/>
        </w:rPr>
        <w:t xml:space="preserve"> was successful in applying for and starting the Field Epidemiology Training Programme</w:t>
      </w:r>
    </w:p>
    <w:p w:rsidR="001345F8" w:rsidRPr="00851717" w:rsidRDefault="00F31AA4" w:rsidP="00166B8F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W</w:t>
      </w:r>
      <w:r w:rsidR="00970B5F" w:rsidRPr="00851717">
        <w:rPr>
          <w:rFonts w:asciiTheme="majorHAnsi" w:hAnsiTheme="majorHAnsi" w:cs="Arial"/>
          <w:color w:val="222222"/>
          <w:shd w:val="clear" w:color="auto" w:fill="FFFFFF"/>
        </w:rPr>
        <w:t>ork to develop a process to produce standardised Health Inequalities briefings for local authorities was nominated for the annual PHE Quality Award</w:t>
      </w:r>
    </w:p>
    <w:p w:rsidR="00F31AA4" w:rsidRPr="00851717" w:rsidRDefault="00F31AA4" w:rsidP="00F31AA4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Award of Brasenose College Senior Hulme Scholarship</w:t>
      </w:r>
    </w:p>
    <w:p w:rsidR="00F31AA4" w:rsidRPr="00851717" w:rsidRDefault="00F31AA4" w:rsidP="00F31AA4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Oxford University Merit Award for excellence</w:t>
      </w:r>
    </w:p>
    <w:p w:rsidR="00F31AA4" w:rsidRPr="00851717" w:rsidRDefault="00F31AA4" w:rsidP="00F31AA4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>Public Health Science Early Career Researchers Oral Presentation Prize, UK Public Health Science Conference, 2016</w:t>
      </w:r>
    </w:p>
    <w:p w:rsidR="00F31AA4" w:rsidRPr="00851717" w:rsidRDefault="00F31AA4" w:rsidP="00F31AA4">
      <w:pPr>
        <w:rPr>
          <w:rFonts w:asciiTheme="majorHAnsi" w:hAnsiTheme="majorHAnsi" w:cs="Arial"/>
          <w:color w:val="222222"/>
          <w:shd w:val="clear" w:color="auto" w:fill="FFFFFF"/>
        </w:rPr>
      </w:pPr>
      <w:r w:rsidRPr="00851717">
        <w:rPr>
          <w:rFonts w:asciiTheme="majorHAnsi" w:hAnsiTheme="majorHAnsi" w:cs="Arial"/>
          <w:color w:val="222222"/>
          <w:shd w:val="clear" w:color="auto" w:fill="FFFFFF"/>
        </w:rPr>
        <w:t xml:space="preserve">Award of </w:t>
      </w:r>
      <w:r w:rsidRPr="00851717">
        <w:rPr>
          <w:rFonts w:asciiTheme="majorHAnsi" w:hAnsiTheme="majorHAnsi"/>
          <w:color w:val="222222"/>
          <w:shd w:val="clear" w:color="auto" w:fill="FFFFFF"/>
        </w:rPr>
        <w:t>Harkness Fellowship in Health Care Policy and Practice</w:t>
      </w:r>
    </w:p>
    <w:p w:rsidR="001345F8" w:rsidRPr="00970B5F" w:rsidRDefault="001345F8" w:rsidP="00166B8F">
      <w:pPr>
        <w:rPr>
          <w:rFonts w:cs="Arial"/>
          <w:color w:val="222222"/>
          <w:shd w:val="clear" w:color="auto" w:fill="FFFFFF"/>
        </w:rPr>
      </w:pPr>
    </w:p>
    <w:p w:rsidR="00166B8F" w:rsidRPr="00166B8F" w:rsidRDefault="00166B8F" w:rsidP="00166B8F">
      <w:r>
        <w:t xml:space="preserve"> </w:t>
      </w:r>
    </w:p>
    <w:sectPr w:rsidR="00166B8F" w:rsidRPr="0016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5"/>
    <w:rsid w:val="001345F8"/>
    <w:rsid w:val="00166B8F"/>
    <w:rsid w:val="00315FE4"/>
    <w:rsid w:val="00462A80"/>
    <w:rsid w:val="004B6F62"/>
    <w:rsid w:val="00501265"/>
    <w:rsid w:val="00503D66"/>
    <w:rsid w:val="00851717"/>
    <w:rsid w:val="00970B5F"/>
    <w:rsid w:val="00AA657C"/>
    <w:rsid w:val="00B55BA6"/>
    <w:rsid w:val="00D8589F"/>
    <w:rsid w:val="00F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7150521151598740742gmail-title1">
    <w:name w:val="m_-7150521151598740742gmail-title1"/>
    <w:basedOn w:val="Normal"/>
    <w:rsid w:val="001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7150521151598740742gmail-title1">
    <w:name w:val="m_-7150521151598740742gmail-title1"/>
    <w:basedOn w:val="Normal"/>
    <w:rsid w:val="001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Munday</dc:creator>
  <cp:lastModifiedBy>imran</cp:lastModifiedBy>
  <cp:revision>2</cp:revision>
  <dcterms:created xsi:type="dcterms:W3CDTF">2017-02-10T08:57:00Z</dcterms:created>
  <dcterms:modified xsi:type="dcterms:W3CDTF">2017-02-10T08:57:00Z</dcterms:modified>
</cp:coreProperties>
</file>